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858" w:rsidRDefault="00422AC5" w:rsidP="00422AC5">
      <w:r w:rsidRPr="00422AC5">
        <w:t xml:space="preserve">Scipione </w:t>
      </w:r>
      <w:proofErr w:type="spellStart"/>
      <w:r w:rsidRPr="00422AC5">
        <w:t>Guarracino</w:t>
      </w:r>
      <w:proofErr w:type="spellEnd"/>
      <w:r w:rsidRPr="00422AC5">
        <w:t xml:space="preserve"> è autore, con Alberto De Bernardi, di numerosi manuali di storia per la Scuola secondaria</w:t>
      </w:r>
      <w:r>
        <w:t xml:space="preserve"> </w:t>
      </w:r>
      <w:r w:rsidRPr="00422AC5">
        <w:t xml:space="preserve">di primo e di secondo grado. Ricordiamo nel 2014 </w:t>
      </w:r>
      <w:r w:rsidRPr="00422AC5">
        <w:rPr>
          <w:i/>
          <w:iCs/>
        </w:rPr>
        <w:t>Realtà del passato</w:t>
      </w:r>
      <w:r w:rsidRPr="00422AC5">
        <w:t>, Edizioni Scolastiche Bruno Mondadori.</w:t>
      </w:r>
    </w:p>
    <w:p w:rsidR="00422AC5" w:rsidRDefault="00422AC5" w:rsidP="00422AC5"/>
    <w:p w:rsidR="00422AC5" w:rsidRPr="00422AC5" w:rsidRDefault="00422AC5" w:rsidP="00422AC5">
      <w:pPr>
        <w:rPr>
          <w:b/>
          <w:sz w:val="28"/>
          <w:szCs w:val="28"/>
        </w:rPr>
      </w:pPr>
      <w:bookmarkStart w:id="0" w:name="_GoBack"/>
      <w:r w:rsidRPr="00422AC5">
        <w:rPr>
          <w:b/>
          <w:sz w:val="28"/>
          <w:szCs w:val="28"/>
        </w:rPr>
        <w:t xml:space="preserve">Recensioni d’autore </w:t>
      </w:r>
    </w:p>
    <w:bookmarkEnd w:id="0"/>
    <w:p w:rsidR="00422AC5" w:rsidRDefault="00422AC5" w:rsidP="00422AC5"/>
    <w:p w:rsidR="00422AC5" w:rsidRPr="00422AC5" w:rsidRDefault="00422AC5" w:rsidP="00422AC5">
      <w:pPr>
        <w:pBdr>
          <w:top w:val="single" w:sz="4" w:space="1" w:color="auto"/>
          <w:left w:val="single" w:sz="4" w:space="4" w:color="auto"/>
          <w:bottom w:val="single" w:sz="4" w:space="1" w:color="auto"/>
          <w:right w:val="single" w:sz="4" w:space="4" w:color="auto"/>
        </w:pBdr>
      </w:pPr>
      <w:r w:rsidRPr="00422AC5">
        <w:t xml:space="preserve">Didier </w:t>
      </w:r>
      <w:proofErr w:type="spellStart"/>
      <w:r w:rsidRPr="00422AC5">
        <w:t>Lett</w:t>
      </w:r>
      <w:proofErr w:type="spellEnd"/>
    </w:p>
    <w:p w:rsidR="00422AC5" w:rsidRDefault="00422AC5" w:rsidP="00422AC5">
      <w:pPr>
        <w:pBdr>
          <w:top w:val="single" w:sz="4" w:space="1" w:color="auto"/>
          <w:left w:val="single" w:sz="4" w:space="4" w:color="auto"/>
          <w:bottom w:val="single" w:sz="4" w:space="1" w:color="auto"/>
          <w:right w:val="single" w:sz="4" w:space="4" w:color="auto"/>
        </w:pBdr>
        <w:rPr>
          <w:b/>
          <w:bCs/>
        </w:rPr>
      </w:pPr>
      <w:r w:rsidRPr="00422AC5">
        <w:rPr>
          <w:b/>
          <w:bCs/>
        </w:rPr>
        <w:t xml:space="preserve">Uomini e donne nel Medioevo. </w:t>
      </w:r>
      <w:r w:rsidRPr="00422AC5">
        <w:rPr>
          <w:b/>
          <w:bCs/>
        </w:rPr>
        <w:br/>
        <w:t>Storia del genere, secoli XII-XIV</w:t>
      </w:r>
    </w:p>
    <w:p w:rsidR="00422AC5" w:rsidRPr="00422AC5" w:rsidRDefault="00422AC5" w:rsidP="00422AC5">
      <w:pPr>
        <w:pBdr>
          <w:top w:val="single" w:sz="4" w:space="1" w:color="auto"/>
          <w:left w:val="single" w:sz="4" w:space="4" w:color="auto"/>
          <w:bottom w:val="single" w:sz="4" w:space="1" w:color="auto"/>
          <w:right w:val="single" w:sz="4" w:space="4" w:color="auto"/>
        </w:pBdr>
      </w:pPr>
      <w:r w:rsidRPr="00422AC5">
        <w:t>Il Mulino</w:t>
      </w:r>
    </w:p>
    <w:p w:rsidR="00422AC5" w:rsidRDefault="00422AC5" w:rsidP="00422AC5">
      <w:pPr>
        <w:pBdr>
          <w:top w:val="single" w:sz="4" w:space="1" w:color="auto"/>
          <w:left w:val="single" w:sz="4" w:space="4" w:color="auto"/>
          <w:bottom w:val="single" w:sz="4" w:space="1" w:color="auto"/>
          <w:right w:val="single" w:sz="4" w:space="4" w:color="auto"/>
        </w:pBdr>
      </w:pPr>
      <w:r w:rsidRPr="00422AC5">
        <w:t>Bologna 2014 pp. 280</w:t>
      </w:r>
    </w:p>
    <w:p w:rsidR="00422AC5" w:rsidRDefault="00422AC5" w:rsidP="00422AC5"/>
    <w:p w:rsidR="00422AC5" w:rsidRPr="00422AC5" w:rsidRDefault="00422AC5" w:rsidP="00422AC5">
      <w:pPr>
        <w:rPr>
          <w:b/>
        </w:rPr>
      </w:pPr>
      <w:r w:rsidRPr="00422AC5">
        <w:rPr>
          <w:b/>
        </w:rPr>
        <w:t xml:space="preserve">Storia delle donne e </w:t>
      </w:r>
      <w:proofErr w:type="gramStart"/>
      <w:r w:rsidRPr="00422AC5">
        <w:rPr>
          <w:b/>
        </w:rPr>
        <w:t>storia</w:t>
      </w:r>
      <w:proofErr w:type="gramEnd"/>
      <w:r w:rsidRPr="00422AC5">
        <w:rPr>
          <w:b/>
        </w:rPr>
        <w:t xml:space="preserve"> di genere</w:t>
      </w:r>
    </w:p>
    <w:p w:rsidR="00422AC5" w:rsidRPr="00422AC5" w:rsidRDefault="00422AC5" w:rsidP="00422AC5">
      <w:r w:rsidRPr="00422AC5">
        <w:t xml:space="preserve">La storia delle donne può essere condotta da tre punti di vista. In primo luogo c’è la biografia di </w:t>
      </w:r>
      <w:proofErr w:type="gramStart"/>
      <w:r w:rsidRPr="00422AC5">
        <w:t>donne illustri</w:t>
      </w:r>
      <w:proofErr w:type="gramEnd"/>
      <w:r w:rsidRPr="00422AC5">
        <w:t xml:space="preserve">, un genere storiografico tradizionale che trova sempre il suo pubblico; in fatto di grandi personalità femminili, da Eleonora d’Aquitania a Giovanna d’Arco, i secoli medievali si direbbero anche più ricchi dell’età moderna. In secondo luogo c’è lo studio del ruolo occupato dalle donne nella storia sociale: </w:t>
      </w:r>
      <w:proofErr w:type="gramStart"/>
      <w:r w:rsidRPr="00422AC5">
        <w:t>in base a</w:t>
      </w:r>
      <w:proofErr w:type="gramEnd"/>
      <w:r w:rsidRPr="00422AC5">
        <w:t xml:space="preserve"> questa prospettiva si possono leggere i capitoli “Diritto, sesso e potere” e “Uomini e donne al lavoro” del libro di Didier </w:t>
      </w:r>
      <w:proofErr w:type="spellStart"/>
      <w:r w:rsidRPr="00422AC5">
        <w:t>Lett</w:t>
      </w:r>
      <w:proofErr w:type="spellEnd"/>
      <w:r w:rsidRPr="00422AC5">
        <w:t xml:space="preserve">, già autore di diverse opere sulla famiglia e le relazioni familiari nel Medioevo. </w:t>
      </w:r>
      <w:proofErr w:type="gramStart"/>
      <w:r w:rsidRPr="00422AC5">
        <w:t>Ma</w:t>
      </w:r>
      <w:proofErr w:type="gramEnd"/>
      <w:r w:rsidRPr="00422AC5">
        <w:t xml:space="preserve"> è dal terzo punto di vista, quello della “storia di genere”, che va letto complessivamente il libro. La storia di genere, un campo di ricerca ben consolidato, è lo studio «dei sistemi simbolici fondati sulla distinzione uomo/donna» e distingue perciò fra sesso (il corpo e la fisicità), sessualità (l’orientamento sessuale e il desiderio) e genere (i modelli identitari e di comportamento): </w:t>
      </w:r>
      <w:proofErr w:type="gramStart"/>
      <w:r w:rsidRPr="00422AC5">
        <w:t>«</w:t>
      </w:r>
      <w:proofErr w:type="gramEnd"/>
      <w:r w:rsidRPr="00422AC5">
        <w:t>il genere esprime il “sesso sociale” o “la costruzione sociale del sesso”». Non si può dire che questa distinzione vada del tutto da sé neppure per i nostri tempi; certamente il Medioevo non aveva alcuna percezione di funzioni che sono sessuate (le attività domestiche e culinarie) senza essere anche sessuali (l’allattamento) e anche nelle manifestazioni della sessualità si aspettava di riconoscere quanto si confà all’uno e all’altro sesso sociale.</w:t>
      </w:r>
    </w:p>
    <w:p w:rsidR="00422AC5" w:rsidRPr="00422AC5" w:rsidRDefault="00422AC5" w:rsidP="00422AC5">
      <w:pPr>
        <w:rPr>
          <w:b/>
          <w:bCs/>
        </w:rPr>
      </w:pPr>
    </w:p>
    <w:p w:rsidR="00422AC5" w:rsidRPr="00422AC5" w:rsidRDefault="00422AC5" w:rsidP="00422AC5">
      <w:pPr>
        <w:rPr>
          <w:b/>
        </w:rPr>
      </w:pPr>
      <w:r w:rsidRPr="00422AC5">
        <w:rPr>
          <w:b/>
        </w:rPr>
        <w:t xml:space="preserve">Agire come uomo e come donna nel Medioevo </w:t>
      </w:r>
    </w:p>
    <w:p w:rsidR="00422AC5" w:rsidRPr="00422AC5" w:rsidRDefault="00422AC5" w:rsidP="00422AC5">
      <w:r w:rsidRPr="00422AC5">
        <w:t xml:space="preserve">Lo studio dei “regimi di genere” nei secoli XII-XV condurrà dunque a rispondere a domande come: che cosa significa agire come uomo e come donna? </w:t>
      </w:r>
      <w:proofErr w:type="gramStart"/>
      <w:r w:rsidRPr="00422AC5">
        <w:t>quali</w:t>
      </w:r>
      <w:proofErr w:type="gramEnd"/>
      <w:r w:rsidRPr="00422AC5">
        <w:t xml:space="preserve"> norme sociali dovevano essere interiorizzate per agire secondo il proprio ruolo? La definizione dell’identità di genere dipendeva in parte da come </w:t>
      </w:r>
      <w:proofErr w:type="gramStart"/>
      <w:r w:rsidRPr="00422AC5">
        <w:t xml:space="preserve">si </w:t>
      </w:r>
      <w:proofErr w:type="gramEnd"/>
      <w:r w:rsidRPr="00422AC5">
        <w:t xml:space="preserve">interpretavano alcuni dei passi chiave della Bibbia (la creazione di Adamo ed Eva, il peccato) e dall’influenza esercitata dai teologi, a partire da san Paolo, e dalla misoginia di monaci ed ecclesiastici. Il peculiare modo medievale di costruire i generi non dipende però solo dal cristianesimo ed è esso stesso soggetto a </w:t>
      </w:r>
      <w:proofErr w:type="gramStart"/>
      <w:r w:rsidRPr="00422AC5">
        <w:t>significativi</w:t>
      </w:r>
      <w:proofErr w:type="gramEnd"/>
      <w:r w:rsidRPr="00422AC5">
        <w:t xml:space="preserve"> mutamenti nel corso dei quattro secoli considerati. </w:t>
      </w:r>
    </w:p>
    <w:p w:rsidR="00422AC5" w:rsidRPr="00422AC5" w:rsidRDefault="00422AC5" w:rsidP="00422AC5">
      <w:r w:rsidRPr="00422AC5">
        <w:t xml:space="preserve">La foggia degli abiti è diventata un più netto segno di genere solo nel XIV secolo, quando l’abito maschile da lungo e ampio come quello delle donne diventa più corto e attillato, mentre l’abbigliamento delle donne </w:t>
      </w:r>
      <w:proofErr w:type="gramStart"/>
      <w:r w:rsidRPr="00422AC5">
        <w:t>viene</w:t>
      </w:r>
      <w:proofErr w:type="gramEnd"/>
      <w:r w:rsidRPr="00422AC5">
        <w:t xml:space="preserve"> assoggettato al controllo delle “leggi suntuarie”. D’altra parte, pur essendo vero che la donna </w:t>
      </w:r>
      <w:proofErr w:type="gramStart"/>
      <w:r w:rsidRPr="00422AC5">
        <w:t>viene</w:t>
      </w:r>
      <w:proofErr w:type="gramEnd"/>
      <w:r w:rsidRPr="00422AC5">
        <w:t xml:space="preserve"> sempre percepita come una eterna minorenne da tenere sotto sorveglianza, è anche vero che la sua condizione, quanto alla capacità di gestire un feudo o di partecipare alle attività economiche, è venuta via via deteriorandosi. E non si può neppure leggere la distinzione di genere secondo un modello assoluto come la contrapposizione fra casa e spazio privato da una parte e lavoro e spazio pubblico dall’altra. L’analisi dell’iconografia dei calendari agricoli compiuta da </w:t>
      </w:r>
      <w:proofErr w:type="spellStart"/>
      <w:r w:rsidRPr="00422AC5">
        <w:t>Lett</w:t>
      </w:r>
      <w:proofErr w:type="spellEnd"/>
      <w:r w:rsidRPr="00422AC5">
        <w:t xml:space="preserve"> mostra bene che anche le donne lavorano la terra: quello che conta è il valore simbolico delle attività e degli attrezzi riservati alle donne.</w:t>
      </w:r>
    </w:p>
    <w:p w:rsidR="00422AC5" w:rsidRPr="00422AC5" w:rsidRDefault="00422AC5" w:rsidP="00422AC5">
      <w:r w:rsidRPr="00422AC5">
        <w:lastRenderedPageBreak/>
        <w:t xml:space="preserve">La storia di genere è sorta all’interno del movimento femminista, ma se </w:t>
      </w:r>
      <w:proofErr w:type="gramStart"/>
      <w:r w:rsidRPr="00422AC5">
        <w:t>ne è</w:t>
      </w:r>
      <w:proofErr w:type="gramEnd"/>
      <w:r w:rsidRPr="00422AC5">
        <w:t xml:space="preserve"> ampiamente emancipata. </w:t>
      </w:r>
      <w:proofErr w:type="spellStart"/>
      <w:r w:rsidRPr="00422AC5">
        <w:t>Lett</w:t>
      </w:r>
      <w:proofErr w:type="spellEnd"/>
      <w:r w:rsidRPr="00422AC5">
        <w:t xml:space="preserve"> appare così piuttosto scettico sulla rivolta femminista che si manifesterebbe nelle pratiche delle sante e mistiche, nell’adesione delle donne alle eresie e nella monacazione come via di fuga da un ruolo imposto. Di norma le donne accettavano il loro ruolo; è difficile trovare atteggiamenti femministi nelle donne del Medioevo, comprese Eloisa e Ildegarda di </w:t>
      </w:r>
      <w:proofErr w:type="spellStart"/>
      <w:r w:rsidRPr="00422AC5">
        <w:t>Bingen</w:t>
      </w:r>
      <w:proofErr w:type="spellEnd"/>
      <w:r w:rsidRPr="00422AC5">
        <w:t>.</w:t>
      </w:r>
    </w:p>
    <w:p w:rsidR="00422AC5" w:rsidRPr="00422AC5" w:rsidRDefault="00422AC5" w:rsidP="00422AC5">
      <w:r w:rsidRPr="00422AC5">
        <w:tab/>
      </w:r>
    </w:p>
    <w:p w:rsidR="00422AC5" w:rsidRPr="00422AC5" w:rsidRDefault="00422AC5" w:rsidP="00422AC5">
      <w:pPr>
        <w:pBdr>
          <w:top w:val="single" w:sz="4" w:space="1" w:color="auto"/>
          <w:left w:val="single" w:sz="4" w:space="4" w:color="auto"/>
          <w:bottom w:val="single" w:sz="4" w:space="1" w:color="auto"/>
          <w:right w:val="single" w:sz="4" w:space="4" w:color="auto"/>
        </w:pBdr>
      </w:pPr>
      <w:r w:rsidRPr="00422AC5">
        <w:t>Henry Kissinger</w:t>
      </w:r>
    </w:p>
    <w:p w:rsidR="00422AC5" w:rsidRDefault="00422AC5" w:rsidP="00422AC5">
      <w:pPr>
        <w:pBdr>
          <w:top w:val="single" w:sz="4" w:space="1" w:color="auto"/>
          <w:left w:val="single" w:sz="4" w:space="4" w:color="auto"/>
          <w:bottom w:val="single" w:sz="4" w:space="1" w:color="auto"/>
          <w:right w:val="single" w:sz="4" w:space="4" w:color="auto"/>
        </w:pBdr>
        <w:rPr>
          <w:b/>
          <w:bCs/>
        </w:rPr>
      </w:pPr>
      <w:r w:rsidRPr="00422AC5">
        <w:rPr>
          <w:b/>
          <w:bCs/>
        </w:rPr>
        <w:t>Ordine mondiale</w:t>
      </w:r>
    </w:p>
    <w:p w:rsidR="00422AC5" w:rsidRDefault="00422AC5" w:rsidP="00422AC5">
      <w:pPr>
        <w:pBdr>
          <w:top w:val="single" w:sz="4" w:space="1" w:color="auto"/>
          <w:left w:val="single" w:sz="4" w:space="4" w:color="auto"/>
          <w:bottom w:val="single" w:sz="4" w:space="1" w:color="auto"/>
          <w:right w:val="single" w:sz="4" w:space="4" w:color="auto"/>
        </w:pBdr>
      </w:pPr>
      <w:r w:rsidRPr="00422AC5">
        <w:t xml:space="preserve">Mondadori </w:t>
      </w:r>
    </w:p>
    <w:p w:rsidR="00422AC5" w:rsidRDefault="00422AC5" w:rsidP="00422AC5">
      <w:pPr>
        <w:pBdr>
          <w:top w:val="single" w:sz="4" w:space="1" w:color="auto"/>
          <w:left w:val="single" w:sz="4" w:space="4" w:color="auto"/>
          <w:bottom w:val="single" w:sz="4" w:space="1" w:color="auto"/>
          <w:right w:val="single" w:sz="4" w:space="4" w:color="auto"/>
        </w:pBdr>
      </w:pPr>
      <w:r w:rsidRPr="00422AC5">
        <w:t>Milano 2015pp. 405</w:t>
      </w:r>
    </w:p>
    <w:p w:rsidR="00422AC5" w:rsidRDefault="00422AC5" w:rsidP="00422AC5"/>
    <w:p w:rsidR="00422AC5" w:rsidRPr="00422AC5" w:rsidRDefault="00422AC5" w:rsidP="00422AC5">
      <w:pPr>
        <w:rPr>
          <w:b/>
        </w:rPr>
      </w:pPr>
      <w:r w:rsidRPr="00422AC5">
        <w:rPr>
          <w:b/>
        </w:rPr>
        <w:t xml:space="preserve">L’ordine internazionale e l’Europa vestfaliana </w:t>
      </w:r>
    </w:p>
    <w:p w:rsidR="00422AC5" w:rsidRPr="00422AC5" w:rsidRDefault="00422AC5" w:rsidP="00422AC5">
      <w:r w:rsidRPr="00422AC5">
        <w:t xml:space="preserve">Prima di diventare segretario di stato, Henry Kissinger aveva insegnato all’università di Harvard. Il suo libro del 1957 </w:t>
      </w:r>
      <w:r w:rsidRPr="00422AC5">
        <w:rPr>
          <w:i/>
          <w:iCs/>
        </w:rPr>
        <w:t xml:space="preserve">A World </w:t>
      </w:r>
      <w:proofErr w:type="spellStart"/>
      <w:r w:rsidRPr="00422AC5">
        <w:rPr>
          <w:i/>
          <w:iCs/>
        </w:rPr>
        <w:t>restored</w:t>
      </w:r>
      <w:proofErr w:type="spellEnd"/>
      <w:r w:rsidRPr="00422AC5">
        <w:rPr>
          <w:i/>
          <w:iCs/>
        </w:rPr>
        <w:t xml:space="preserve">: Metternich, </w:t>
      </w:r>
      <w:proofErr w:type="spellStart"/>
      <w:r w:rsidRPr="00422AC5">
        <w:rPr>
          <w:i/>
          <w:iCs/>
        </w:rPr>
        <w:t>Castlereagh</w:t>
      </w:r>
      <w:proofErr w:type="spellEnd"/>
      <w:r w:rsidRPr="00422AC5">
        <w:rPr>
          <w:i/>
          <w:iCs/>
        </w:rPr>
        <w:t xml:space="preserve"> and the </w:t>
      </w:r>
      <w:proofErr w:type="spellStart"/>
      <w:r w:rsidRPr="00422AC5">
        <w:rPr>
          <w:i/>
          <w:iCs/>
        </w:rPr>
        <w:t>problems</w:t>
      </w:r>
      <w:proofErr w:type="spellEnd"/>
      <w:r w:rsidRPr="00422AC5">
        <w:rPr>
          <w:i/>
          <w:iCs/>
        </w:rPr>
        <w:t xml:space="preserve"> of </w:t>
      </w:r>
      <w:proofErr w:type="spellStart"/>
      <w:r w:rsidRPr="00422AC5">
        <w:rPr>
          <w:i/>
          <w:iCs/>
        </w:rPr>
        <w:t>peace</w:t>
      </w:r>
      <w:proofErr w:type="spellEnd"/>
      <w:r w:rsidRPr="00422AC5">
        <w:t xml:space="preserve"> (</w:t>
      </w:r>
      <w:r w:rsidRPr="00422AC5">
        <w:rPr>
          <w:i/>
          <w:iCs/>
        </w:rPr>
        <w:t>Diplomazia</w:t>
      </w:r>
      <w:r w:rsidRPr="00422AC5">
        <w:t xml:space="preserve"> </w:t>
      </w:r>
      <w:r w:rsidRPr="00422AC5">
        <w:rPr>
          <w:i/>
          <w:iCs/>
        </w:rPr>
        <w:t>della Restaurazione</w:t>
      </w:r>
      <w:r w:rsidRPr="00422AC5">
        <w:t xml:space="preserve">, Garzanti, Milano 1973) era uno studio sul tentativo compiuto dal Congresso di Vienna di restaurare per via diplomatica l’ordine politico. Ordine mondiale, scritto da Kissinger dopo aver superato la soglia dei novant’anni, si ricollega in qualche misura al libro del 1957. L’uno e l’altro hanno per oggetto un’epoca che si pone alla ricerca di un ordine internazionale. </w:t>
      </w:r>
      <w:proofErr w:type="gramStart"/>
      <w:r w:rsidRPr="00422AC5">
        <w:t>Ma</w:t>
      </w:r>
      <w:proofErr w:type="gramEnd"/>
      <w:r w:rsidRPr="00422AC5">
        <w:t xml:space="preserve"> fra le due epoche c’è una differenza profonda. Nell’epoca attuale nessun ordine sta emergendo. </w:t>
      </w:r>
    </w:p>
    <w:p w:rsidR="00422AC5" w:rsidRPr="00422AC5" w:rsidRDefault="00422AC5" w:rsidP="00422AC5">
      <w:r w:rsidRPr="00422AC5">
        <w:t xml:space="preserve">Il Congresso di Vienna riuscì invece nel suo intento e ristabilì un ordine le cui origini risalivano alle paci di Vestfalia del 1648. La prima parte del libro è perciò dedicata alla storia di quest’ordine: </w:t>
      </w:r>
      <w:proofErr w:type="gramStart"/>
      <w:r w:rsidRPr="00422AC5">
        <w:t>«</w:t>
      </w:r>
      <w:proofErr w:type="gramEnd"/>
      <w:r w:rsidRPr="00422AC5">
        <w:t xml:space="preserve">un sistema di stati indipendenti che si astenevano dalla reciproca interferenza negli affari interni e controllavano a vicenda le rispettive ambizioni mediante un equilibrio generale di potere.» Non meno importante fu la fine di ogni pretesa di universalità, tanto nella verità religiosa quanto nel dominio politico. Messo da parte ogni «giudizio sull’assoluto» in favore di un atteggiamento pragmatico, l’Europa «cercò di distillare l’ordine dalla molteplicità </w:t>
      </w:r>
      <w:proofErr w:type="gramStart"/>
      <w:r w:rsidRPr="00422AC5">
        <w:t>a dal</w:t>
      </w:r>
      <w:proofErr w:type="gramEnd"/>
      <w:r w:rsidRPr="00422AC5">
        <w:t xml:space="preserve"> mutuo controllo» e ci riuscì fino al 1914. La guerra non fu eliminata, ma i suoi effetti furono contenuti.</w:t>
      </w:r>
    </w:p>
    <w:p w:rsidR="00422AC5" w:rsidRPr="00422AC5" w:rsidRDefault="00422AC5" w:rsidP="00422AC5">
      <w:r w:rsidRPr="00422AC5">
        <w:t xml:space="preserve">Questo esito della guerra dei Trent’anni non </w:t>
      </w:r>
      <w:proofErr w:type="gramStart"/>
      <w:r w:rsidRPr="00422AC5">
        <w:t>fu voluto</w:t>
      </w:r>
      <w:proofErr w:type="gramEnd"/>
      <w:r w:rsidRPr="00422AC5">
        <w:t xml:space="preserve"> subito coscientemente. Divisione e molteplicità furono come un accidente nella storia europea, una </w:t>
      </w:r>
      <w:proofErr w:type="gramStart"/>
      <w:r w:rsidRPr="00422AC5">
        <w:t>vistosa</w:t>
      </w:r>
      <w:proofErr w:type="gramEnd"/>
      <w:r w:rsidRPr="00422AC5">
        <w:t xml:space="preserve"> eccezione rispetto a quanto più comunemente accade nella storia: il susseguirsi di ascese e cadute di imperi, nei quali la pace non è l’equilibrio ma «la portata del potere imperiale». </w:t>
      </w:r>
    </w:p>
    <w:p w:rsidR="00422AC5" w:rsidRPr="00422AC5" w:rsidRDefault="00422AC5" w:rsidP="00422AC5"/>
    <w:p w:rsidR="00422AC5" w:rsidRPr="00422AC5" w:rsidRDefault="00422AC5" w:rsidP="00422AC5">
      <w:pPr>
        <w:rPr>
          <w:b/>
        </w:rPr>
      </w:pPr>
      <w:r w:rsidRPr="00422AC5">
        <w:rPr>
          <w:b/>
        </w:rPr>
        <w:t xml:space="preserve">Dopo l’equilibrio della guerra fredda </w:t>
      </w:r>
    </w:p>
    <w:p w:rsidR="00422AC5" w:rsidRPr="00422AC5" w:rsidRDefault="00422AC5" w:rsidP="00422AC5">
      <w:r w:rsidRPr="00422AC5">
        <w:t xml:space="preserve">L’equilibrio europeo (scaturito dal fallimento di tutti i tentativi di monarchia universale, da Carlo Magno in poi) è diverso per due ragioni dal sistema bipolare mondiale degli anni della guerra fredda. In questo sistema i fattori ideologici, in precedenza irrilevanti, hanno assunto un gran peso. In secondo luogo i due protagonisti della guerra fredda erano per tradizione piuttosto estranei alla logica della diplomazia. La Russia aveva una radicata vocazione all’espansione imperiale, nel senso politico-territoriale della parola. Gli Stati Uniti sin dalle loro origini si erano voluti tener fuori dal sistema europeo e più tardi la visione “idealista” di Woodrow Wilson ha prevalso su quella “realista” di Theodore Roosevelt: «la politica estera americana ha rispecchiato la convinzione che i suoi principi interni fossero con </w:t>
      </w:r>
      <w:proofErr w:type="gramStart"/>
      <w:r w:rsidRPr="00422AC5">
        <w:t>tutta evidenza universali</w:t>
      </w:r>
      <w:proofErr w:type="gramEnd"/>
      <w:r w:rsidRPr="00422AC5">
        <w:t xml:space="preserve"> e la loro applicazione in qualunque momento salutare».</w:t>
      </w:r>
    </w:p>
    <w:p w:rsidR="00422AC5" w:rsidRPr="00422AC5" w:rsidRDefault="00422AC5" w:rsidP="00422AC5">
      <w:r w:rsidRPr="00422AC5">
        <w:t xml:space="preserve">Il sistema bipolare è comunque riuscito a reggere per oltre quattro decenni e, oltre che equilibrio del terrore, è diventato in qualche modo anche un equilibrio diplomatico. Verso quale genere di ordine sta andando la nostra epoca? Il resto del libro è dedicato all’interesse che nelle diverse aree geopolitiche </w:t>
      </w:r>
      <w:proofErr w:type="gramStart"/>
      <w:r w:rsidRPr="00422AC5">
        <w:t>vi</w:t>
      </w:r>
      <w:proofErr w:type="gramEnd"/>
      <w:r w:rsidRPr="00422AC5">
        <w:t xml:space="preserve"> può essere per un nuovo ordine mondiale. Kissinger prende atto che la proliferazione delle armi di distruzione </w:t>
      </w:r>
      <w:proofErr w:type="gramStart"/>
      <w:r w:rsidRPr="00422AC5">
        <w:t>di</w:t>
      </w:r>
      <w:proofErr w:type="gramEnd"/>
      <w:r w:rsidRPr="00422AC5">
        <w:t xml:space="preserve"> massa è sempre in atto, mentre gli “stati falliti”, le devastazioni ambientali e le pratiche genocide si moltiplicano e le nuove tecnologie spingono i conflitti «al di fuori del controllo o della comprensione dell’uomo». Gli insegnamenti della storia stanno per diventare di poco aiuto? Nell’epoca dell’informazione globale e istantanea c’è poco spazio per la ponderata riflessione dell’epoca della diplomazia. «Il cyberspazio mette in discussione tutta l’esperienza storica»: di fronte agli effetti di attacco informatico perfino il difficile equilibrio dato dal meccanismo della pace </w:t>
      </w:r>
      <w:proofErr w:type="gramStart"/>
      <w:r w:rsidRPr="00422AC5">
        <w:t>nucleare</w:t>
      </w:r>
      <w:proofErr w:type="gramEnd"/>
      <w:r w:rsidRPr="00422AC5">
        <w:t xml:space="preserve"> si fa rimpiangere.</w:t>
      </w:r>
    </w:p>
    <w:p w:rsidR="00422AC5" w:rsidRDefault="00422AC5" w:rsidP="00422AC5"/>
    <w:sectPr w:rsidR="00422AC5" w:rsidSect="00A67858">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AC5"/>
    <w:rsid w:val="00422AC5"/>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1188</Words>
  <Characters>6774</Characters>
  <Application>Microsoft Macintosh Word</Application>
  <DocSecurity>0</DocSecurity>
  <Lines>56</Lines>
  <Paragraphs>15</Paragraphs>
  <ScaleCrop>false</ScaleCrop>
  <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2015-10-06T20:02:00Z</dcterms:created>
  <dcterms:modified xsi:type="dcterms:W3CDTF">2015-10-06T20:04:00Z</dcterms:modified>
</cp:coreProperties>
</file>